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i/>
          <w:color w:val="B5894A"/>
          <w:sz w:val="20"/>
        </w:rPr>
        <w:t>BetCanon · The Library — reference dossier</w:t>
      </w:r>
    </w:p>
    <w:p>
      <w:pPr>
        <w:pStyle w:val="Title"/>
      </w:pPr>
      <w:r>
        <w:rPr>
          <w:color w:val="14502E"/>
        </w:rPr>
        <w:t>Baccarat probability reference — exact Banker, Player and Tie odds, the drawing tableau, and why the commission is 5%</w:t>
      </w:r>
    </w:p>
    <w:p>
      <w:r>
        <w:rPr>
          <w:sz w:val="24"/>
        </w:rPr>
        <w:t>The full win, loss and tie frequencies for an eight-deck shoe, the fixed third-card tableau, and the arithmetic behind the 5% Banker commission.</w:t>
      </w:r>
    </w:p>
    <w:p>
      <w:r>
        <w:rPr>
          <w:i/>
          <w:color w:val="5C5448"/>
          <w:sz w:val="19"/>
        </w:rPr>
        <w:t>2026 edition · Week 22 · betcanon.com — Educational reference on table-game mathematics; not gambling advice, not an app, no affiliate links.</w:t>
      </w:r>
    </w:p>
    <w:p>
      <w:r>
        <w:br w:type="page"/>
      </w:r>
    </w:p>
    <w:p>
      <w:pPr>
        <w:pStyle w:val="Heading1"/>
      </w:pPr>
      <w:r>
        <w:rPr>
          <w:color w:val="14502E"/>
        </w:rPr>
        <w:t>The three frequencies (eight-deck shoe)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t>Outcome</w:t>
            </w:r>
          </w:p>
        </w:tc>
        <w:tc>
          <w:tcPr>
            <w:tcW w:type="dxa" w:w="2880"/>
          </w:tcPr>
          <w:p>
            <w:r>
              <w:t>Share of all hands</w:t>
            </w:r>
          </w:p>
        </w:tc>
        <w:tc>
          <w:tcPr>
            <w:tcW w:type="dxa" w:w="2880"/>
          </w:tcPr>
          <w:p>
            <w:r>
              <w:t>Share of decided hands</w:t>
            </w:r>
          </w:p>
        </w:tc>
      </w:tr>
      <w:tr>
        <w:tc>
          <w:tcPr>
            <w:tcW w:type="dxa" w:w="2880"/>
          </w:tcPr>
          <w:p>
            <w:r>
              <w:t>Banker wins</w:t>
            </w:r>
          </w:p>
        </w:tc>
        <w:tc>
          <w:tcPr>
            <w:tcW w:type="dxa" w:w="2880"/>
          </w:tcPr>
          <w:p>
            <w:r>
              <w:t>45.86%</w:t>
            </w:r>
          </w:p>
        </w:tc>
        <w:tc>
          <w:tcPr>
            <w:tcW w:type="dxa" w:w="2880"/>
          </w:tcPr>
          <w:p>
            <w:r>
              <w:t>50.68%</w:t>
            </w:r>
          </w:p>
        </w:tc>
      </w:tr>
      <w:tr>
        <w:tc>
          <w:tcPr>
            <w:tcW w:type="dxa" w:w="2880"/>
          </w:tcPr>
          <w:p>
            <w:r>
              <w:t>Player wins</w:t>
            </w:r>
          </w:p>
        </w:tc>
        <w:tc>
          <w:tcPr>
            <w:tcW w:type="dxa" w:w="2880"/>
          </w:tcPr>
          <w:p>
            <w:r>
              <w:t>44.62%</w:t>
            </w:r>
          </w:p>
        </w:tc>
        <w:tc>
          <w:tcPr>
            <w:tcW w:type="dxa" w:w="2880"/>
          </w:tcPr>
          <w:p>
            <w:r>
              <w:t>49.32%</w:t>
            </w:r>
          </w:p>
        </w:tc>
      </w:tr>
      <w:tr>
        <w:tc>
          <w:tcPr>
            <w:tcW w:type="dxa" w:w="2880"/>
          </w:tcPr>
          <w:p>
            <w:r>
              <w:t>Tie</w:t>
            </w:r>
          </w:p>
        </w:tc>
        <w:tc>
          <w:tcPr>
            <w:tcW w:type="dxa" w:w="2880"/>
          </w:tcPr>
          <w:p>
            <w:r>
              <w:t>9.52%</w:t>
            </w:r>
          </w:p>
        </w:tc>
        <w:tc>
          <w:tcPr>
            <w:tcW w:type="dxa" w:w="2880"/>
          </w:tcPr>
          <w:p>
            <w:r>
              <w:t>—</w:t>
            </w:r>
          </w:p>
        </w:tc>
      </w:tr>
    </w:tbl>
    <w:p>
      <w:pPr>
        <w:pStyle w:val="Heading1"/>
      </w:pPr>
      <w:r>
        <w:rPr>
          <w:color w:val="14502E"/>
        </w:rPr>
        <w:t>Player hand — fixed rule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Player two-card total</w:t>
            </w:r>
          </w:p>
        </w:tc>
        <w:tc>
          <w:tcPr>
            <w:tcW w:type="dxa" w:w="4320"/>
          </w:tcPr>
          <w:p>
            <w:r>
              <w:t>Action</w:t>
            </w:r>
          </w:p>
        </w:tc>
      </w:tr>
      <w:tr>
        <w:tc>
          <w:tcPr>
            <w:tcW w:type="dxa" w:w="4320"/>
          </w:tcPr>
          <w:p>
            <w:r>
              <w:t>0–5</w:t>
            </w:r>
          </w:p>
        </w:tc>
        <w:tc>
          <w:tcPr>
            <w:tcW w:type="dxa" w:w="4320"/>
          </w:tcPr>
          <w:p>
            <w:r>
              <w:t>Draws a third card</w:t>
            </w:r>
          </w:p>
        </w:tc>
      </w:tr>
      <w:tr>
        <w:tc>
          <w:tcPr>
            <w:tcW w:type="dxa" w:w="4320"/>
          </w:tcPr>
          <w:p>
            <w:r>
              <w:t>6–7</w:t>
            </w:r>
          </w:p>
        </w:tc>
        <w:tc>
          <w:tcPr>
            <w:tcW w:type="dxa" w:w="4320"/>
          </w:tcPr>
          <w:p>
            <w:r>
              <w:t>Stands</w:t>
            </w:r>
          </w:p>
        </w:tc>
      </w:tr>
    </w:tbl>
    <w:p>
      <w:pPr>
        <w:pStyle w:val="Heading1"/>
      </w:pPr>
      <w:r>
        <w:rPr>
          <w:color w:val="14502E"/>
        </w:rPr>
        <w:t>Banker hand — draws when Player's third card is…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Banker total</w:t>
            </w:r>
          </w:p>
        </w:tc>
        <w:tc>
          <w:tcPr>
            <w:tcW w:type="dxa" w:w="4320"/>
          </w:tcPr>
          <w:p>
            <w:r>
              <w:t>Banker draws when Player's third card is</w:t>
            </w:r>
          </w:p>
        </w:tc>
      </w:tr>
      <w:tr>
        <w:tc>
          <w:tcPr>
            <w:tcW w:type="dxa" w:w="4320"/>
          </w:tcPr>
          <w:p>
            <w:r>
              <w:t>0, 1, 2</w:t>
            </w:r>
          </w:p>
        </w:tc>
        <w:tc>
          <w:tcPr>
            <w:tcW w:type="dxa" w:w="4320"/>
          </w:tcPr>
          <w:p>
            <w:r>
              <w:t>Always draws</w:t>
            </w:r>
          </w:p>
        </w:tc>
      </w:tr>
      <w:tr>
        <w:tc>
          <w:tcPr>
            <w:tcW w:type="dxa" w:w="4320"/>
          </w:tcPr>
          <w:p>
            <w:r>
              <w:t>3</w:t>
            </w:r>
          </w:p>
        </w:tc>
        <w:tc>
          <w:tcPr>
            <w:tcW w:type="dxa" w:w="4320"/>
          </w:tcPr>
          <w:p>
            <w:r>
              <w:t>Any card except 8</w:t>
            </w:r>
          </w:p>
        </w:tc>
      </w:tr>
      <w:tr>
        <w:tc>
          <w:tcPr>
            <w:tcW w:type="dxa" w:w="4320"/>
          </w:tcPr>
          <w:p>
            <w:r>
              <w:t>4</w:t>
            </w:r>
          </w:p>
        </w:tc>
        <w:tc>
          <w:tcPr>
            <w:tcW w:type="dxa" w:w="4320"/>
          </w:tcPr>
          <w:p>
            <w:r>
              <w:t>2, 3, 4, 5, 6, 7</w:t>
            </w:r>
          </w:p>
        </w:tc>
      </w:tr>
      <w:tr>
        <w:tc>
          <w:tcPr>
            <w:tcW w:type="dxa" w:w="4320"/>
          </w:tcPr>
          <w:p>
            <w:r>
              <w:t>5</w:t>
            </w:r>
          </w:p>
        </w:tc>
        <w:tc>
          <w:tcPr>
            <w:tcW w:type="dxa" w:w="4320"/>
          </w:tcPr>
          <w:p>
            <w:r>
              <w:t>4, 5, 6, 7</w:t>
            </w:r>
          </w:p>
        </w:tc>
      </w:tr>
      <w:tr>
        <w:tc>
          <w:tcPr>
            <w:tcW w:type="dxa" w:w="4320"/>
          </w:tcPr>
          <w:p>
            <w:r>
              <w:t>6</w:t>
            </w:r>
          </w:p>
        </w:tc>
        <w:tc>
          <w:tcPr>
            <w:tcW w:type="dxa" w:w="4320"/>
          </w:tcPr>
          <w:p>
            <w:r>
              <w:t>6, 7</w:t>
            </w:r>
          </w:p>
        </w:tc>
      </w:tr>
      <w:tr>
        <w:tc>
          <w:tcPr>
            <w:tcW w:type="dxa" w:w="4320"/>
          </w:tcPr>
          <w:p>
            <w:r>
              <w:t>7</w:t>
            </w:r>
          </w:p>
        </w:tc>
        <w:tc>
          <w:tcPr>
            <w:tcW w:type="dxa" w:w="4320"/>
          </w:tcPr>
          <w:p>
            <w:r>
              <w:t>Always stands</w:t>
            </w:r>
          </w:p>
        </w:tc>
      </w:tr>
    </w:tbl>
    <w:p>
      <w:pPr>
        <w:pStyle w:val="Heading1"/>
      </w:pPr>
      <w:r>
        <w:rPr>
          <w:color w:val="14502E"/>
        </w:rPr>
        <w:t>Why the commission is 5%</w:t>
      </w:r>
    </w:p>
    <w:p>
      <w:r>
        <w:rPr>
          <w:b/>
          <w:color w:val="0A2F1A"/>
        </w:rPr>
        <w:t>Banker no commission: (+1 × 0.4586) − (1 × 0.4462) = +0.0124 (favours player)</w:t>
      </w:r>
    </w:p>
    <w:p>
      <w:r>
        <w:rPr>
          <w:b/>
          <w:color w:val="0A2F1A"/>
        </w:rPr>
        <w:t>Cost of 5% on Banker wins: 0.05 × 0.4586 ≈ 0.0229 per unit</w:t>
      </w:r>
    </w:p>
    <w:p>
      <w:r>
        <w:rPr>
          <w:b/>
          <w:color w:val="0A2F1A"/>
        </w:rPr>
        <w:t>Banker with commission: +0.0124 − 0.0229 ≈ −0.0105 → house edge ≈ 1.06%</w:t>
      </w:r>
    </w:p>
    <w:p>
      <w:pPr>
        <w:pStyle w:val="Heading1"/>
      </w:pPr>
      <w:r>
        <w:rPr>
          <w:color w:val="14502E"/>
        </w:rPr>
        <w:t>House edge on all three bets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t>Bet</w:t>
            </w:r>
          </w:p>
        </w:tc>
        <w:tc>
          <w:tcPr>
            <w:tcW w:type="dxa" w:w="2880"/>
          </w:tcPr>
          <w:p>
            <w:r>
              <w:t>Payout</w:t>
            </w:r>
          </w:p>
        </w:tc>
        <w:tc>
          <w:tcPr>
            <w:tcW w:type="dxa" w:w="2880"/>
          </w:tcPr>
          <w:p>
            <w:r>
              <w:t>House edge</w:t>
            </w:r>
          </w:p>
        </w:tc>
      </w:tr>
      <w:tr>
        <w:tc>
          <w:tcPr>
            <w:tcW w:type="dxa" w:w="2880"/>
          </w:tcPr>
          <w:p>
            <w:r>
              <w:t>Banker</w:t>
            </w:r>
          </w:p>
        </w:tc>
        <w:tc>
          <w:tcPr>
            <w:tcW w:type="dxa" w:w="2880"/>
          </w:tcPr>
          <w:p>
            <w:r>
              <w:t>1:1 less 5% commission</w:t>
            </w:r>
          </w:p>
        </w:tc>
        <w:tc>
          <w:tcPr>
            <w:tcW w:type="dxa" w:w="2880"/>
          </w:tcPr>
          <w:p>
            <w:r>
              <w:t>1.06%</w:t>
            </w:r>
          </w:p>
        </w:tc>
      </w:tr>
      <w:tr>
        <w:tc>
          <w:tcPr>
            <w:tcW w:type="dxa" w:w="2880"/>
          </w:tcPr>
          <w:p>
            <w:r>
              <w:t>Player</w:t>
            </w:r>
          </w:p>
        </w:tc>
        <w:tc>
          <w:tcPr>
            <w:tcW w:type="dxa" w:w="2880"/>
          </w:tcPr>
          <w:p>
            <w:r>
              <w:t>1:1</w:t>
            </w:r>
          </w:p>
        </w:tc>
        <w:tc>
          <w:tcPr>
            <w:tcW w:type="dxa" w:w="2880"/>
          </w:tcPr>
          <w:p>
            <w:r>
              <w:t>1.24%</w:t>
            </w:r>
          </w:p>
        </w:tc>
      </w:tr>
      <w:tr>
        <w:tc>
          <w:tcPr>
            <w:tcW w:type="dxa" w:w="2880"/>
          </w:tcPr>
          <w:p>
            <w:r>
              <w:t>Tie</w:t>
            </w:r>
          </w:p>
        </w:tc>
        <w:tc>
          <w:tcPr>
            <w:tcW w:type="dxa" w:w="2880"/>
          </w:tcPr>
          <w:p>
            <w:r>
              <w:t>8:1</w:t>
            </w:r>
          </w:p>
        </w:tc>
        <w:tc>
          <w:tcPr>
            <w:tcW w:type="dxa" w:w="2880"/>
          </w:tcPr>
          <w:p>
            <w:r>
              <w:t>14.4%</w:t>
            </w:r>
          </w:p>
        </w:tc>
      </w:tr>
      <w:tr>
        <w:tc>
          <w:tcPr>
            <w:tcW w:type="dxa" w:w="2880"/>
          </w:tcPr>
          <w:p>
            <w:r>
              <w:t>Tie</w:t>
            </w:r>
          </w:p>
        </w:tc>
        <w:tc>
          <w:tcPr>
            <w:tcW w:type="dxa" w:w="2880"/>
          </w:tcPr>
          <w:p>
            <w:r>
              <w:t>9:1</w:t>
            </w:r>
          </w:p>
        </w:tc>
        <w:tc>
          <w:tcPr>
            <w:tcW w:type="dxa" w:w="2880"/>
          </w:tcPr>
          <w:p>
            <w:r>
              <w:t>4.8%</w:t>
            </w:r>
          </w:p>
        </w:tc>
      </w:tr>
    </w:tbl>
    <w:p>
      <w:r>
        <w:t>Full derivation: betcanon.com/first-principles/baccarat-banker-player-tie-probability/</w:t>
      </w:r>
    </w:p>
    <w:p/>
    <w:p>
      <w:r>
        <w:rPr>
          <w:color w:val="5C5448"/>
          <w:sz w:val="18"/>
        </w:rPr>
        <w:t>Responsible play. Basic strategy and house-edge figures reduce the average cost of play; they never remove it. Every casino table bet keeps a positive house edge against the player. You must be 21 or older to gamble where legal. National Problem Gambling Helpline: 1-800-522-4700 (free, confidential, 24/7). © 2026 BetCanon Editorial.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